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120"/>
        <w:rPr>
          <w:rFonts w:ascii="Arial" w:eastAsia="Arial" w:hAnsi="Arial" w:cs="Arial"/>
          <w:sz w:val="22"/>
          <w:szCs w:val="22"/>
        </w:rPr>
      </w:pPr>
      <w:bookmarkStart w:id="0" w:name="_Hlk51517685"/>
    </w:p>
    <w:p>
      <w:pPr>
        <w:tabs>
          <w:tab w:val="left" w:pos="3119"/>
          <w:tab w:val="left" w:pos="4253"/>
        </w:tabs>
        <w:spacing w:before="0" w:after="120"/>
        <w:jc w:val="center"/>
        <w:rPr>
          <w:rFonts w:ascii="Times New Roman" w:eastAsia="Times New Roman" w:hAnsi="Times New Roman" w:cs="Times New Roman"/>
          <w:sz w:val="24"/>
          <w:szCs w:val="24"/>
        </w:rPr>
      </w:pPr>
      <w:r>
        <w:rPr>
          <w:rFonts w:ascii="Arial" w:eastAsia="Arial" w:hAnsi="Arial" w:cs="Arial"/>
          <w:b/>
          <w:bCs/>
          <w:sz w:val="20"/>
          <w:szCs w:val="20"/>
        </w:rPr>
        <w:t>FOR IMMEDIATE RELEASE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Arial" w:eastAsia="Arial" w:hAnsi="Arial" w:cs="Arial"/>
          <w:b/>
          <w:bCs/>
          <w:sz w:val="20"/>
          <w:szCs w:val="20"/>
        </w:rPr>
        <w:t xml:space="preserve">                                               </w:t>
      </w:r>
      <w:r>
        <w:rPr>
          <w:rFonts w:ascii="Arial" w:eastAsia="Arial" w:hAnsi="Arial" w:cs="Arial"/>
          <w:b/>
          <w:bCs/>
          <w:sz w:val="20"/>
          <w:szCs w:val="20"/>
        </w:rPr>
        <w:t>09 November 2022</w:t>
      </w:r>
    </w:p>
    <w:p>
      <w:pPr>
        <w:tabs>
          <w:tab w:val="left" w:pos="3119"/>
        </w:tabs>
        <w:spacing w:before="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pPr>
        <w:spacing w:before="0" w:after="120"/>
        <w:jc w:val="center"/>
      </w:pPr>
      <w:r>
        <w:rPr>
          <w:strike w:val="0"/>
          <w:u w:val="none"/>
        </w:rPr>
        <w:drawing>
          <wp:inline>
            <wp:extent cx="1628775" cy="581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628775" cy="581025"/>
                    </a:xfrm>
                    <a:prstGeom prst="rect">
                      <a:avLst/>
                    </a:prstGeom>
                  </pic:spPr>
                </pic:pic>
              </a:graphicData>
            </a:graphic>
          </wp:inline>
        </w:drawing>
      </w:r>
    </w:p>
    <w:p>
      <w:pPr>
        <w:spacing w:before="0" w:after="120"/>
        <w:jc w:val="center"/>
      </w:pPr>
      <w:r>
        <w:rPr>
          <w:rFonts w:ascii="Arial" w:eastAsia="Arial" w:hAnsi="Arial" w:cs="Arial"/>
          <w:b/>
          <w:bCs/>
        </w:rPr>
        <w:t>PENNANT INTERNATIONAL GROUP PLC</w:t>
      </w:r>
    </w:p>
    <w:p>
      <w:pPr>
        <w:spacing w:before="0" w:after="120"/>
        <w:jc w:val="center"/>
        <w:rPr>
          <w:rFonts w:ascii="Times New Roman" w:eastAsia="Times New Roman" w:hAnsi="Times New Roman" w:cs="Times New Roman"/>
          <w:sz w:val="24"/>
          <w:szCs w:val="24"/>
        </w:rPr>
      </w:pPr>
    </w:p>
    <w:p>
      <w:pPr>
        <w:spacing w:before="0" w:after="120"/>
        <w:jc w:val="center"/>
        <w:rPr>
          <w:sz w:val="20"/>
          <w:szCs w:val="20"/>
        </w:rPr>
      </w:pPr>
      <w:r>
        <w:rPr>
          <w:rFonts w:ascii="Arial" w:eastAsia="Arial" w:hAnsi="Arial" w:cs="Arial"/>
          <w:b/>
          <w:bCs/>
          <w:sz w:val="20"/>
          <w:szCs w:val="20"/>
        </w:rPr>
        <w:t>Director/PDMR Shareholding</w:t>
      </w:r>
    </w:p>
    <w:p>
      <w:pPr>
        <w:spacing w:before="0" w:after="0"/>
        <w:jc w:val="center"/>
        <w:rPr>
          <w:sz w:val="20"/>
          <w:szCs w:val="20"/>
        </w:rPr>
      </w:pPr>
      <w:r>
        <w:rPr>
          <w:rFonts w:ascii="Arial" w:eastAsia="Arial" w:hAnsi="Arial" w:cs="Arial"/>
          <w:b/>
          <w:bCs/>
          <w:sz w:val="20"/>
          <w:szCs w:val="20"/>
        </w:rPr>
        <w:t>Share Option Restructuring</w:t>
      </w:r>
    </w:p>
    <w:p>
      <w:pPr>
        <w:spacing w:before="0" w:after="0"/>
        <w:jc w:val="center"/>
        <w:rPr>
          <w:rFonts w:ascii="Times New Roman" w:eastAsia="Times New Roman" w:hAnsi="Times New Roman" w:cs="Times New Roman"/>
          <w:sz w:val="20"/>
          <w:szCs w:val="20"/>
        </w:rPr>
      </w:pPr>
    </w:p>
    <w:p>
      <w:pPr>
        <w:spacing w:before="0" w:after="0"/>
        <w:jc w:val="center"/>
        <w:rPr>
          <w:rFonts w:ascii="Arial" w:eastAsia="Arial" w:hAnsi="Arial" w:cs="Arial"/>
          <w:b/>
          <w:bCs/>
          <w:sz w:val="24"/>
          <w:szCs w:val="24"/>
        </w:rPr>
      </w:pPr>
    </w:p>
    <w:p>
      <w:pPr>
        <w:spacing w:before="0" w:after="0"/>
        <w:jc w:val="both"/>
        <w:rPr>
          <w:sz w:val="20"/>
          <w:szCs w:val="20"/>
        </w:rPr>
      </w:pPr>
      <w:r>
        <w:rPr>
          <w:rFonts w:ascii="Arial" w:eastAsia="Arial" w:hAnsi="Arial" w:cs="Arial"/>
          <w:sz w:val="20"/>
          <w:szCs w:val="20"/>
        </w:rPr>
        <w:t>Pennant International Group plc (AIM: PEN) (the “</w:t>
      </w:r>
      <w:r>
        <w:rPr>
          <w:rFonts w:ascii="Arial" w:eastAsia="Arial" w:hAnsi="Arial" w:cs="Arial"/>
          <w:b/>
          <w:bCs/>
          <w:sz w:val="20"/>
          <w:szCs w:val="20"/>
        </w:rPr>
        <w:t>Company</w:t>
      </w:r>
      <w:r>
        <w:rPr>
          <w:rFonts w:ascii="Arial" w:eastAsia="Arial" w:hAnsi="Arial" w:cs="Arial"/>
          <w:sz w:val="20"/>
          <w:szCs w:val="20"/>
        </w:rPr>
        <w:t xml:space="preserve">”), announces the restructuring of the share options held by the executive directors, Philip Walker and David Clements. </w:t>
      </w:r>
    </w:p>
    <w:p>
      <w:pPr>
        <w:spacing w:before="0" w:after="0"/>
        <w:jc w:val="both"/>
        <w:rPr>
          <w:rFonts w:ascii="Arial" w:eastAsia="Arial" w:hAnsi="Arial" w:cs="Arial"/>
          <w:sz w:val="20"/>
          <w:szCs w:val="20"/>
        </w:rPr>
      </w:pPr>
    </w:p>
    <w:p>
      <w:pPr>
        <w:spacing w:before="0" w:after="0"/>
        <w:jc w:val="both"/>
        <w:rPr>
          <w:sz w:val="20"/>
          <w:szCs w:val="20"/>
        </w:rPr>
      </w:pPr>
      <w:bookmarkEnd w:id="0"/>
      <w:r>
        <w:rPr>
          <w:rFonts w:ascii="Arial" w:eastAsia="Arial" w:hAnsi="Arial" w:cs="Arial"/>
          <w:sz w:val="20"/>
          <w:szCs w:val="20"/>
        </w:rPr>
        <w:t>Mr Walker has surrendered an EMI option over 297,619 unissued ordinary shares of 5p each in the capital of the Company (“</w:t>
      </w:r>
      <w:r>
        <w:rPr>
          <w:rFonts w:ascii="Arial" w:eastAsia="Arial" w:hAnsi="Arial" w:cs="Arial"/>
          <w:b/>
          <w:bCs/>
          <w:sz w:val="20"/>
          <w:szCs w:val="20"/>
        </w:rPr>
        <w:t>ordinary shares</w:t>
      </w:r>
      <w:r>
        <w:rPr>
          <w:rFonts w:ascii="Arial" w:eastAsia="Arial" w:hAnsi="Arial" w:cs="Arial"/>
          <w:sz w:val="20"/>
          <w:szCs w:val="20"/>
        </w:rPr>
        <w:t xml:space="preserve">”) exercisable at 84p per share and an unapproved option over 525,969 unissued ordinary shares exercisable at 55p per share. Mr Clements has surrendered EMI options over 100,000 unissued ordinary shares exercisable at 80.5p and 205,455 unissued ordinary shares exercisable at 82.5p per share. </w:t>
      </w:r>
    </w:p>
    <w:p>
      <w:pPr>
        <w:spacing w:before="0" w:after="0"/>
        <w:jc w:val="both"/>
        <w:rPr>
          <w:rFonts w:ascii="Arial" w:eastAsia="Arial" w:hAnsi="Arial" w:cs="Arial"/>
          <w:i/>
          <w:iCs/>
          <w:sz w:val="20"/>
          <w:szCs w:val="20"/>
        </w:rPr>
      </w:pPr>
    </w:p>
    <w:p>
      <w:pPr>
        <w:spacing w:before="0" w:after="0"/>
        <w:jc w:val="both"/>
        <w:rPr>
          <w:sz w:val="20"/>
          <w:szCs w:val="20"/>
        </w:rPr>
      </w:pPr>
      <w:r>
        <w:rPr>
          <w:rFonts w:ascii="Arial" w:eastAsia="Arial" w:hAnsi="Arial" w:cs="Arial"/>
          <w:sz w:val="20"/>
          <w:szCs w:val="20"/>
        </w:rPr>
        <w:t>Following consultation with major shareholders, the Company has granted to Mr Walker a new EMI option over 500,000 unissued ordinary shares, and Mr Clements has been granted a new EMI option over 300,000 unissued ordinary shares (the “</w:t>
      </w:r>
      <w:r>
        <w:rPr>
          <w:rFonts w:ascii="Arial" w:eastAsia="Arial" w:hAnsi="Arial" w:cs="Arial"/>
          <w:b/>
          <w:bCs/>
          <w:sz w:val="20"/>
          <w:szCs w:val="20"/>
        </w:rPr>
        <w:t>New Options</w:t>
      </w:r>
      <w:r>
        <w:rPr>
          <w:rFonts w:ascii="Arial" w:eastAsia="Arial" w:hAnsi="Arial" w:cs="Arial"/>
          <w:sz w:val="20"/>
          <w:szCs w:val="20"/>
        </w:rPr>
        <w:t xml:space="preserve">”). The New Options are the only options (or other rights to acquire shares in the Company) held by the executive directors. </w:t>
      </w:r>
    </w:p>
    <w:p>
      <w:pPr>
        <w:spacing w:before="0" w:after="0"/>
        <w:jc w:val="both"/>
        <w:rPr>
          <w:sz w:val="20"/>
          <w:szCs w:val="20"/>
        </w:rPr>
      </w:pPr>
      <w:r>
        <w:rPr>
          <w:sz w:val="20"/>
          <w:szCs w:val="20"/>
        </w:rPr>
        <w:br/>
      </w:r>
      <w:r>
        <w:rPr>
          <w:rFonts w:ascii="Arial" w:eastAsia="Arial" w:hAnsi="Arial" w:cs="Arial"/>
          <w:sz w:val="20"/>
          <w:szCs w:val="20"/>
        </w:rPr>
        <w:t>The New Options are subject to vesting conditions tied to achieving growth in the Company’s share price, vesting in 20% tranches as and when certain milestones are achieved and the share price sustained at that level for at least 30 days, as follows:</w:t>
      </w:r>
    </w:p>
    <w:p>
      <w:pPr>
        <w:spacing w:before="0" w:after="200"/>
        <w:jc w:val="both"/>
        <w:rPr>
          <w:rFonts w:ascii="Arial" w:eastAsia="Arial" w:hAnsi="Arial" w:cs="Arial"/>
          <w:sz w:val="20"/>
          <w:szCs w:val="20"/>
        </w:rPr>
      </w:pPr>
    </w:p>
    <w:tbl>
      <w:tblP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Grid>
        <w:gridCol w:w="2366"/>
        <w:gridCol w:w="2935"/>
      </w:tblGrid>
      <w:tr>
        <w:tblPrEx>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c>
          <w:tcPr>
            <w:tcW w:w="2126" w:type="dxa"/>
            <w:tcBorders>
              <w:bottom w:val="single" w:sz="4" w:space="0" w:color="000000"/>
              <w:right w:val="single" w:sz="4" w:space="0" w:color="000000"/>
            </w:tcBorders>
            <w:shd w:val="clear" w:color="auto" w:fill="F2F2F2"/>
            <w:noWrap w:val="0"/>
            <w:tcMar>
              <w:top w:w="0" w:type="dxa"/>
              <w:left w:w="10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Target share price</w:t>
            </w:r>
          </w:p>
          <w:p>
            <w:pPr>
              <w:spacing w:before="0" w:after="200"/>
              <w:jc w:val="both"/>
              <w:rPr>
                <w:rFonts w:ascii="Arial" w:eastAsia="Arial" w:hAnsi="Arial" w:cs="Arial"/>
                <w:b/>
                <w:bCs/>
                <w:i w:val="0"/>
                <w:iCs w:val="0"/>
                <w:smallCaps w:val="0"/>
                <w:color w:val="000000"/>
                <w:sz w:val="20"/>
                <w:szCs w:val="20"/>
              </w:rPr>
            </w:pPr>
          </w:p>
        </w:tc>
        <w:tc>
          <w:tcPr>
            <w:tcW w:w="2693" w:type="dxa"/>
            <w:tcBorders>
              <w:left w:val="single" w:sz="4" w:space="0" w:color="000000"/>
              <w:bottom w:val="single" w:sz="4" w:space="0" w:color="000000"/>
            </w:tcBorders>
            <w:shd w:val="clear" w:color="auto" w:fill="F2F2F2"/>
            <w:noWrap w:val="0"/>
            <w:tcMar>
              <w:top w:w="0" w:type="dxa"/>
              <w:left w:w="10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of New Options vesting</w:t>
            </w:r>
          </w:p>
          <w:p>
            <w:pPr>
              <w:spacing w:before="0" w:after="0"/>
              <w:jc w:val="both"/>
              <w:rPr>
                <w:rFonts w:ascii="Arial" w:eastAsia="Arial" w:hAnsi="Arial" w:cs="Arial"/>
                <w:b/>
                <w:bCs/>
                <w:i w:val="0"/>
                <w:iCs w:val="0"/>
                <w:smallCaps w:val="0"/>
                <w:color w:val="000000"/>
                <w:sz w:val="20"/>
                <w:szCs w:val="20"/>
              </w:rPr>
            </w:pPr>
          </w:p>
          <w:p>
            <w:pPr>
              <w:spacing w:before="0" w:after="200"/>
              <w:jc w:val="both"/>
              <w:rPr>
                <w:rFonts w:ascii="Arial" w:eastAsia="Arial" w:hAnsi="Arial" w:cs="Arial"/>
                <w:b/>
                <w:bCs/>
                <w:i w:val="0"/>
                <w:iCs w:val="0"/>
                <w:smallCaps w:val="0"/>
                <w:color w:val="000000"/>
                <w:sz w:val="20"/>
                <w:szCs w:val="20"/>
              </w:rPr>
            </w:pPr>
          </w:p>
        </w:tc>
      </w:tr>
      <w:tr>
        <w:tblPrEx>
          <w:tblInd w:w="392" w:type="dxa"/>
          <w:tblCellMar>
            <w:top w:w="0" w:type="dxa"/>
            <w:left w:w="0" w:type="dxa"/>
            <w:bottom w:w="0" w:type="dxa"/>
            <w:right w:w="0" w:type="dxa"/>
          </w:tblCellMar>
        </w:tblPrEx>
        <w:tc>
          <w:tcPr>
            <w:tcW w:w="2126"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57p</w:t>
            </w:r>
          </w:p>
        </w:tc>
        <w:tc>
          <w:tcPr>
            <w:tcW w:w="2693"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20%</w:t>
            </w:r>
          </w:p>
        </w:tc>
      </w:tr>
      <w:tr>
        <w:tblPrEx>
          <w:tblInd w:w="392" w:type="dxa"/>
          <w:tblCellMar>
            <w:top w:w="0" w:type="dxa"/>
            <w:left w:w="0" w:type="dxa"/>
            <w:bottom w:w="0" w:type="dxa"/>
            <w:right w:w="0" w:type="dxa"/>
          </w:tblCellMar>
        </w:tblPrEx>
        <w:tc>
          <w:tcPr>
            <w:tcW w:w="2126"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62p</w:t>
            </w:r>
          </w:p>
        </w:tc>
        <w:tc>
          <w:tcPr>
            <w:tcW w:w="2693"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20%</w:t>
            </w:r>
          </w:p>
        </w:tc>
      </w:tr>
      <w:tr>
        <w:tblPrEx>
          <w:tblInd w:w="392" w:type="dxa"/>
          <w:tblCellMar>
            <w:top w:w="0" w:type="dxa"/>
            <w:left w:w="0" w:type="dxa"/>
            <w:bottom w:w="0" w:type="dxa"/>
            <w:right w:w="0" w:type="dxa"/>
          </w:tblCellMar>
        </w:tblPrEx>
        <w:tc>
          <w:tcPr>
            <w:tcW w:w="2126"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67p</w:t>
            </w:r>
          </w:p>
        </w:tc>
        <w:tc>
          <w:tcPr>
            <w:tcW w:w="2693"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20%</w:t>
            </w:r>
          </w:p>
        </w:tc>
      </w:tr>
      <w:tr>
        <w:tblPrEx>
          <w:tblInd w:w="392" w:type="dxa"/>
          <w:tblCellMar>
            <w:top w:w="0" w:type="dxa"/>
            <w:left w:w="0" w:type="dxa"/>
            <w:bottom w:w="0" w:type="dxa"/>
            <w:right w:w="0" w:type="dxa"/>
          </w:tblCellMar>
        </w:tblPrEx>
        <w:tc>
          <w:tcPr>
            <w:tcW w:w="2126" w:type="dxa"/>
            <w:tcBorders>
              <w:top w:val="single" w:sz="4" w:space="0" w:color="000000"/>
              <w:bottom w:val="single" w:sz="4" w:space="0" w:color="000000"/>
              <w:righ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72p</w:t>
            </w:r>
          </w:p>
        </w:tc>
        <w:tc>
          <w:tcPr>
            <w:tcW w:w="2693" w:type="dxa"/>
            <w:tcBorders>
              <w:top w:val="single" w:sz="4" w:space="0" w:color="000000"/>
              <w:left w:val="single" w:sz="4" w:space="0" w:color="000000"/>
              <w:bottom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20%</w:t>
            </w:r>
          </w:p>
        </w:tc>
      </w:tr>
      <w:tr>
        <w:tblPrEx>
          <w:tblInd w:w="392" w:type="dxa"/>
          <w:tblCellMar>
            <w:top w:w="0" w:type="dxa"/>
            <w:left w:w="0" w:type="dxa"/>
            <w:bottom w:w="0" w:type="dxa"/>
            <w:right w:w="0" w:type="dxa"/>
          </w:tblCellMar>
        </w:tblPrEx>
        <w:tc>
          <w:tcPr>
            <w:tcW w:w="2126" w:type="dxa"/>
            <w:tcBorders>
              <w:top w:val="single" w:sz="4" w:space="0" w:color="000000"/>
              <w:righ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77p</w:t>
            </w:r>
          </w:p>
        </w:tc>
        <w:tc>
          <w:tcPr>
            <w:tcW w:w="2693" w:type="dxa"/>
            <w:tcBorders>
              <w:top w:val="single" w:sz="4" w:space="0" w:color="000000"/>
              <w:left w:val="single" w:sz="4" w:space="0" w:color="000000"/>
            </w:tcBorders>
            <w:noWrap w:val="0"/>
            <w:tcMar>
              <w:top w:w="0" w:type="dxa"/>
              <w:left w:w="108" w:type="dxa"/>
              <w:bottom w:w="0" w:type="dxa"/>
              <w:right w:w="108" w:type="dxa"/>
            </w:tcMar>
            <w:vAlign w:val="top"/>
            <w:hideMark/>
          </w:tcPr>
          <w:p>
            <w:pPr>
              <w:spacing w:before="0" w:after="20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20%</w:t>
            </w:r>
          </w:p>
        </w:tc>
      </w:tr>
    </w:tbl>
    <w:p>
      <w:pPr>
        <w:spacing w:before="0" w:after="0"/>
        <w:jc w:val="both"/>
        <w:rPr>
          <w:rFonts w:ascii="Arial" w:eastAsia="Arial" w:hAnsi="Arial" w:cs="Arial"/>
          <w:sz w:val="20"/>
          <w:szCs w:val="20"/>
        </w:rPr>
      </w:pPr>
    </w:p>
    <w:p>
      <w:pPr>
        <w:spacing w:before="0" w:after="0"/>
        <w:jc w:val="both"/>
        <w:rPr>
          <w:sz w:val="20"/>
          <w:szCs w:val="20"/>
        </w:rPr>
      </w:pPr>
      <w:r>
        <w:rPr>
          <w:rFonts w:ascii="Arial" w:eastAsia="Arial" w:hAnsi="Arial" w:cs="Arial"/>
          <w:sz w:val="20"/>
          <w:szCs w:val="20"/>
        </w:rPr>
        <w:t>In order for the New Options to vest, these targets must be achieved during the three years following the date of grant (the “</w:t>
      </w:r>
      <w:r>
        <w:rPr>
          <w:rFonts w:ascii="Arial" w:eastAsia="Arial" w:hAnsi="Arial" w:cs="Arial"/>
          <w:b/>
          <w:bCs/>
          <w:sz w:val="20"/>
          <w:szCs w:val="20"/>
        </w:rPr>
        <w:t>Performance Period</w:t>
      </w:r>
      <w:r>
        <w:rPr>
          <w:rFonts w:ascii="Arial" w:eastAsia="Arial" w:hAnsi="Arial" w:cs="Arial"/>
          <w:sz w:val="20"/>
          <w:szCs w:val="20"/>
        </w:rPr>
        <w:t>”) and to the extent that the New Options have not vested during the Performance Period, the rights over the unissued shares will lapse. Any shares that are acquired pursuant to exercise of the New Options must be held by the relevant executive director for at least the Performance Period. The exercise price under the New Options is 33.5p per share.</w:t>
      </w:r>
    </w:p>
    <w:p>
      <w:pPr>
        <w:spacing w:before="0" w:after="0"/>
        <w:jc w:val="both"/>
        <w:rPr>
          <w:rFonts w:ascii="Arial" w:eastAsia="Arial" w:hAnsi="Arial" w:cs="Arial"/>
          <w:sz w:val="20"/>
          <w:szCs w:val="20"/>
        </w:rPr>
      </w:pPr>
    </w:p>
    <w:p>
      <w:pPr>
        <w:spacing w:before="0" w:after="200"/>
        <w:jc w:val="both"/>
        <w:rPr>
          <w:sz w:val="20"/>
          <w:szCs w:val="20"/>
        </w:rPr>
      </w:pPr>
      <w:r>
        <w:rPr>
          <w:rFonts w:ascii="Arial" w:eastAsia="Arial" w:hAnsi="Arial" w:cs="Arial"/>
          <w:sz w:val="20"/>
          <w:szCs w:val="20"/>
        </w:rPr>
        <w:t>The New Options are subject to further conditions contained in the Company’s EMI scheme document, as approved by shareholder vote in 2019. Each executive director’s New Options lapse should his employment cease.</w:t>
      </w:r>
    </w:p>
    <w:p>
      <w:pPr>
        <w:spacing w:before="0" w:after="0"/>
        <w:jc w:val="both"/>
        <w:rPr>
          <w:sz w:val="20"/>
          <w:szCs w:val="20"/>
        </w:rPr>
      </w:pPr>
      <w:r>
        <w:rPr>
          <w:rFonts w:ascii="Arial" w:eastAsia="Arial" w:hAnsi="Arial" w:cs="Arial"/>
          <w:sz w:val="20"/>
          <w:szCs w:val="20"/>
        </w:rPr>
        <w:t>The tables below provide further details for each PDMR.</w:t>
      </w:r>
    </w:p>
    <w:p>
      <w:pPr>
        <w:spacing w:before="0" w:after="0"/>
        <w:rPr>
          <w:rFonts w:ascii="Times New Roman" w:eastAsia="Times New Roman" w:hAnsi="Times New Roman" w:cs="Times New Roman"/>
          <w:sz w:val="20"/>
          <w:szCs w:val="20"/>
        </w:rPr>
      </w:pPr>
    </w:p>
    <w:p>
      <w:pPr>
        <w:spacing w:before="0" w:after="0"/>
        <w:rPr>
          <w:rFonts w:ascii="Times New Roman" w:eastAsia="Times New Roman" w:hAnsi="Times New Roman" w:cs="Times New Roman"/>
          <w:sz w:val="20"/>
          <w:szCs w:val="20"/>
        </w:rPr>
      </w:pPr>
    </w:p>
    <w:p>
      <w:pPr>
        <w:spacing w:before="0" w:after="0"/>
        <w:rPr>
          <w:rFonts w:ascii="Times New Roman" w:eastAsia="Times New Roman" w:hAnsi="Times New Roman" w:cs="Times New Roman"/>
          <w:sz w:val="20"/>
          <w:szCs w:val="20"/>
        </w:rPr>
      </w:pPr>
    </w:p>
    <w:p>
      <w:pPr>
        <w:spacing w:before="0" w:after="0"/>
        <w:jc w:val="both"/>
        <w:rPr>
          <w:rFonts w:ascii="Arial" w:eastAsia="Arial" w:hAnsi="Arial" w:cs="Arial"/>
          <w:sz w:val="20"/>
          <w:szCs w:val="20"/>
        </w:rPr>
      </w:pPr>
    </w:p>
    <w:p>
      <w:pPr>
        <w:spacing w:before="0" w:after="0"/>
        <w:jc w:val="both"/>
        <w:rPr>
          <w:sz w:val="20"/>
          <w:szCs w:val="20"/>
        </w:rPr>
      </w:pPr>
      <w:r>
        <w:rPr>
          <w:rFonts w:ascii="Arial" w:eastAsia="Arial" w:hAnsi="Arial" w:cs="Arial"/>
          <w:b/>
          <w:bCs/>
          <w:sz w:val="20"/>
          <w:szCs w:val="20"/>
        </w:rPr>
        <w:t>Enquiries:</w:t>
      </w:r>
    </w:p>
    <w:p>
      <w:pPr>
        <w:spacing w:before="0" w:after="0"/>
        <w:jc w:val="both"/>
        <w:rPr>
          <w:rFonts w:ascii="Arial" w:eastAsia="Arial" w:hAnsi="Arial" w:cs="Arial"/>
          <w:b/>
          <w:bCs/>
          <w:sz w:val="20"/>
          <w:szCs w:val="20"/>
        </w:rPr>
      </w:pPr>
    </w:p>
    <w:tbl>
      <w:tblPr>
        <w:tblCellMar>
          <w:top w:w="0" w:type="dxa"/>
          <w:left w:w="0" w:type="dxa"/>
          <w:bottom w:w="0" w:type="dxa"/>
          <w:right w:w="0" w:type="dxa"/>
        </w:tblCellMar>
      </w:tblPr>
      <w:tblGrid>
        <w:gridCol w:w="4367"/>
        <w:gridCol w:w="4703"/>
      </w:tblGrid>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Pennant International Group plc</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rPr>
            </w:pPr>
            <w:hyperlink r:id="rId5" w:history="1">
              <w:r>
                <w:rPr>
                  <w:rFonts w:ascii="Arial" w:eastAsia="Arial" w:hAnsi="Arial" w:cs="Arial"/>
                  <w:b w:val="0"/>
                  <w:bCs w:val="0"/>
                  <w:i w:val="0"/>
                  <w:iCs w:val="0"/>
                  <w:smallCaps w:val="0"/>
                  <w:color w:val="000000"/>
                  <w:sz w:val="20"/>
                  <w:szCs w:val="20"/>
                  <w:u w:val="single" w:color="000000"/>
                </w:rPr>
                <w:t>www.pennantplc.co.uk</w:t>
              </w:r>
            </w:hyperlink>
            <w:r>
              <w:rPr>
                <w:rFonts w:ascii="Arial" w:eastAsia="Arial" w:hAnsi="Arial" w:cs="Arial"/>
                <w:b w:val="0"/>
                <w:bCs w:val="0"/>
                <w:i/>
                <w:iCs/>
                <w:smallCaps w:val="0"/>
                <w:color w:val="000000"/>
                <w:sz w:val="20"/>
                <w:szCs w:val="20"/>
              </w:rPr>
              <w:t xml:space="preserve"> </w:t>
            </w:r>
          </w:p>
        </w:tc>
      </w:tr>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Philip Walker, CEO</w:t>
            </w:r>
          </w:p>
          <w:p>
            <w:pPr>
              <w:spacing w:before="0" w:after="0"/>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David Clements, Commercial &amp; Risk Director</w:t>
            </w:r>
            <w:r>
              <w:rPr>
                <w:rFonts w:ascii="Arial" w:eastAsia="Arial" w:hAnsi="Arial" w:cs="Arial"/>
                <w:b w:val="0"/>
                <w:bCs w:val="0"/>
                <w:i w:val="0"/>
                <w:iCs w:val="0"/>
                <w:smallCaps w:val="0"/>
                <w:color w:val="000000"/>
                <w:sz w:val="20"/>
                <w:szCs w:val="20"/>
              </w:rPr>
              <w:t xml:space="preserve">  </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+44 (0) 1452 714 914</w:t>
            </w:r>
          </w:p>
        </w:tc>
      </w:tr>
      <w:tr>
        <w:tblPrEx>
          <w:tblCellMar>
            <w:top w:w="0" w:type="dxa"/>
            <w:left w:w="0" w:type="dxa"/>
            <w:bottom w:w="0" w:type="dxa"/>
            <w:right w:w="0" w:type="dxa"/>
          </w:tblCellMar>
        </w:tblPrEx>
        <w:trPr>
          <w:trHeight w:val="309"/>
        </w:trPr>
        <w:tc>
          <w:tcPr>
            <w:tcW w:w="4493" w:type="dxa"/>
            <w:noWrap w:val="0"/>
            <w:tcMar>
              <w:top w:w="0" w:type="dxa"/>
              <w:left w:w="118" w:type="dxa"/>
              <w:bottom w:w="0" w:type="dxa"/>
              <w:right w:w="118" w:type="dxa"/>
            </w:tcMar>
            <w:vAlign w:val="top"/>
          </w:tcPr>
          <w:p>
            <w:pPr>
              <w:spacing w:before="0" w:after="0"/>
              <w:jc w:val="both"/>
              <w:rPr>
                <w:rFonts w:ascii="Arial" w:eastAsia="Arial" w:hAnsi="Arial" w:cs="Arial"/>
                <w:b w:val="0"/>
                <w:bCs w:val="0"/>
                <w:i w:val="0"/>
                <w:iCs w:val="0"/>
                <w:smallCaps w:val="0"/>
                <w:color w:val="000000"/>
                <w:sz w:val="20"/>
                <w:szCs w:val="20"/>
              </w:rPr>
            </w:pPr>
          </w:p>
        </w:tc>
        <w:tc>
          <w:tcPr>
            <w:tcW w:w="4617" w:type="dxa"/>
            <w:noWrap w:val="0"/>
            <w:tcMar>
              <w:top w:w="0" w:type="dxa"/>
              <w:left w:w="118" w:type="dxa"/>
              <w:bottom w:w="0" w:type="dxa"/>
              <w:right w:w="118" w:type="dxa"/>
            </w:tcMar>
            <w:vAlign w:val="top"/>
          </w:tcPr>
          <w:p>
            <w:pPr>
              <w:spacing w:before="0" w:after="0"/>
              <w:jc w:val="both"/>
              <w:rPr>
                <w:rFonts w:ascii="Arial" w:eastAsia="Arial" w:hAnsi="Arial" w:cs="Arial"/>
                <w:b w:val="0"/>
                <w:bCs w:val="0"/>
                <w:i w:val="0"/>
                <w:iCs w:val="0"/>
                <w:smallCaps w:val="0"/>
                <w:color w:val="000000"/>
                <w:sz w:val="20"/>
                <w:szCs w:val="20"/>
              </w:rPr>
            </w:pPr>
          </w:p>
        </w:tc>
      </w:tr>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WH Ireland Limited (Nomad and Broker)</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rPr>
            </w:pPr>
            <w:r>
              <w:rPr>
                <w:rFonts w:ascii="Arial" w:eastAsia="Arial" w:hAnsi="Arial" w:cs="Arial"/>
                <w:b w:val="0"/>
                <w:bCs w:val="0"/>
                <w:i w:val="0"/>
                <w:iCs w:val="0"/>
                <w:smallCaps w:val="0"/>
                <w:color w:val="000000"/>
                <w:sz w:val="20"/>
                <w:szCs w:val="20"/>
              </w:rPr>
              <w:t xml:space="preserve"> </w:t>
            </w:r>
            <w:hyperlink r:id="rId6" w:history="1">
              <w:r>
                <w:rPr>
                  <w:rFonts w:ascii="Arial" w:eastAsia="Arial" w:hAnsi="Arial" w:cs="Arial"/>
                  <w:b w:val="0"/>
                  <w:bCs w:val="0"/>
                  <w:i w:val="0"/>
                  <w:iCs w:val="0"/>
                  <w:smallCaps w:val="0"/>
                  <w:color w:val="000000"/>
                  <w:sz w:val="20"/>
                  <w:szCs w:val="20"/>
                  <w:u w:val="single" w:color="000000"/>
                </w:rPr>
                <w:t>https://www.whirelandplc.com/capital-markets</w:t>
              </w:r>
            </w:hyperlink>
            <w:r>
              <w:rPr>
                <w:rFonts w:ascii="Arial" w:eastAsia="Arial" w:hAnsi="Arial" w:cs="Arial"/>
                <w:b w:val="0"/>
                <w:bCs w:val="0"/>
                <w:i w:val="0"/>
                <w:iCs w:val="0"/>
                <w:smallCaps w:val="0"/>
                <w:color w:val="000000"/>
                <w:sz w:val="20"/>
                <w:szCs w:val="20"/>
              </w:rPr>
              <w:t xml:space="preserve"> </w:t>
            </w:r>
          </w:p>
        </w:tc>
      </w:tr>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xml:space="preserve">Mike Coe </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Sarah Mather</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+44 (0) 20 7220 1666</w:t>
            </w:r>
          </w:p>
        </w:tc>
      </w:tr>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tcPr>
          <w:p>
            <w:pPr>
              <w:spacing w:before="0" w:after="0"/>
              <w:jc w:val="both"/>
              <w:rPr>
                <w:rFonts w:ascii="Arial" w:eastAsia="Arial" w:hAnsi="Arial" w:cs="Arial"/>
                <w:b w:val="0"/>
                <w:bCs w:val="0"/>
                <w:i w:val="0"/>
                <w:iCs w:val="0"/>
                <w:smallCaps w:val="0"/>
                <w:color w:val="000000"/>
                <w:sz w:val="20"/>
                <w:szCs w:val="20"/>
              </w:rPr>
            </w:pPr>
          </w:p>
        </w:tc>
        <w:tc>
          <w:tcPr>
            <w:tcW w:w="4617" w:type="dxa"/>
            <w:noWrap w:val="0"/>
            <w:tcMar>
              <w:top w:w="0" w:type="dxa"/>
              <w:left w:w="118" w:type="dxa"/>
              <w:bottom w:w="0" w:type="dxa"/>
              <w:right w:w="118" w:type="dxa"/>
            </w:tcMar>
            <w:vAlign w:val="top"/>
          </w:tcPr>
          <w:p>
            <w:pPr>
              <w:spacing w:before="0" w:after="0"/>
              <w:jc w:val="both"/>
              <w:rPr>
                <w:rFonts w:ascii="Arial" w:eastAsia="Arial" w:hAnsi="Arial" w:cs="Arial"/>
                <w:b w:val="0"/>
                <w:bCs w:val="0"/>
                <w:i w:val="0"/>
                <w:iCs w:val="0"/>
                <w:smallCaps w:val="0"/>
                <w:color w:val="000000"/>
                <w:sz w:val="20"/>
                <w:szCs w:val="20"/>
              </w:rPr>
            </w:pPr>
          </w:p>
        </w:tc>
      </w:tr>
      <w:tr>
        <w:tblPrEx>
          <w:tblCellMar>
            <w:top w:w="0" w:type="dxa"/>
            <w:left w:w="0" w:type="dxa"/>
            <w:bottom w:w="0" w:type="dxa"/>
            <w:right w:w="0" w:type="dxa"/>
          </w:tblCellMar>
        </w:tblPrEx>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Walbrook PR (Financial PR)</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rPr>
            </w:pPr>
            <w:hyperlink r:id="rId7" w:history="1">
              <w:r>
                <w:rPr>
                  <w:rFonts w:ascii="Arial" w:eastAsia="Arial" w:hAnsi="Arial" w:cs="Arial"/>
                  <w:b w:val="0"/>
                  <w:bCs w:val="0"/>
                  <w:i w:val="0"/>
                  <w:iCs w:val="0"/>
                  <w:smallCaps w:val="0"/>
                  <w:color w:val="000000"/>
                  <w:sz w:val="20"/>
                  <w:szCs w:val="20"/>
                  <w:u w:val="single" w:color="000000"/>
                </w:rPr>
                <w:t>paul.vann@walbrookpr.com</w:t>
              </w:r>
            </w:hyperlink>
          </w:p>
        </w:tc>
      </w:tr>
      <w:tr>
        <w:tblPrEx>
          <w:tblCellMar>
            <w:top w:w="0" w:type="dxa"/>
            <w:left w:w="0" w:type="dxa"/>
            <w:bottom w:w="0" w:type="dxa"/>
            <w:right w:w="0" w:type="dxa"/>
          </w:tblCellMar>
        </w:tblPrEx>
        <w:trPr>
          <w:trHeight w:val="80"/>
        </w:trPr>
        <w:tc>
          <w:tcPr>
            <w:tcW w:w="449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Paul Vann</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Tom Cooper</w:t>
            </w:r>
          </w:p>
        </w:tc>
        <w:tc>
          <w:tcPr>
            <w:tcW w:w="4617"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+44 (0)20 7933 8780</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Mob: +44 (0)7768 807631</w:t>
            </w:r>
          </w:p>
        </w:tc>
      </w:tr>
    </w:tbl>
    <w:p>
      <w:pPr>
        <w:spacing w:before="0" w:after="0"/>
        <w:jc w:val="both"/>
        <w:rPr>
          <w:rFonts w:ascii="Arial" w:eastAsia="Arial" w:hAnsi="Arial" w:cs="Arial"/>
          <w:sz w:val="20"/>
          <w:szCs w:val="20"/>
        </w:rPr>
      </w:pPr>
    </w:p>
    <w:p>
      <w:pPr>
        <w:spacing w:before="0" w:after="0"/>
        <w:jc w:val="both"/>
        <w:rPr>
          <w:rFonts w:ascii="Times New Roman" w:eastAsia="Times New Roman" w:hAnsi="Times New Roman" w:cs="Times New Roman"/>
          <w:sz w:val="24"/>
          <w:szCs w:val="24"/>
        </w:rPr>
      </w:pPr>
    </w:p>
    <w:p>
      <w:pPr>
        <w:spacing w:before="0" w:after="0"/>
        <w:jc w:val="both"/>
        <w:rPr>
          <w:rFonts w:ascii="Arial" w:eastAsia="Arial" w:hAnsi="Arial" w:cs="Arial"/>
          <w:sz w:val="24"/>
          <w:szCs w:val="24"/>
        </w:rPr>
      </w:pPr>
    </w:p>
    <w:p>
      <w:pPr>
        <w:spacing w:before="0" w:after="0"/>
        <w:rPr>
          <w:sz w:val="20"/>
          <w:szCs w:val="20"/>
        </w:rPr>
      </w:pPr>
      <w:r>
        <w:rPr>
          <w:sz w:val="20"/>
          <w:szCs w:val="20"/>
        </w:rPr>
        <w:br w:type="page"/>
      </w:r>
    </w:p>
    <w:tbl>
      <w:tblPr>
        <w:tblW w:w="10141" w:type="dxa"/>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tblGrid>
        <w:gridCol w:w="507"/>
        <w:gridCol w:w="3895"/>
        <w:gridCol w:w="307"/>
        <w:gridCol w:w="2532"/>
        <w:gridCol w:w="2539"/>
        <w:gridCol w:w="320"/>
      </w:tblGrid>
      <w:tr>
        <w:tblPrEx>
          <w:tblW w:w="10141" w:type="dxa"/>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1</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043"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person discharging managerial responsibilities / person closely associated</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514"/>
        </w:trPr>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Name</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Philip Walker</w:t>
            </w:r>
          </w:p>
        </w:tc>
      </w:tr>
      <w:tr>
        <w:tblPrEx>
          <w:tblW w:w="10141" w:type="dxa"/>
          <w:tblCellMar>
            <w:top w:w="0" w:type="dxa"/>
            <w:left w:w="0" w:type="dxa"/>
            <w:bottom w:w="0" w:type="dxa"/>
            <w:right w:w="0" w:type="dxa"/>
          </w:tblCellMar>
        </w:tblPrEx>
        <w:trPr>
          <w:trHeight w:val="469"/>
        </w:trPr>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2</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043"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Reason for the notification</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423"/>
        </w:trPr>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Position/status</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Chief Executive Officer</w:t>
            </w: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Initial notification /Amendment</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Initial Notification</w:t>
            </w: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3</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043"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issuer, emission allowance market participant, auction platform, auctioneer or auction monitor</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Name</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Pennant International Group plc</w:t>
            </w: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LEI</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2138005AIIUYSRP5O254</w:t>
            </w: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4</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043" w:type="dxa"/>
            <w:gridSpan w:val="5"/>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transaction(s): section to be repeated for (i) each type of instrument; (ii) each type of transaction; (iii) each date; and (iv) each place where transactions have been conducted</w:t>
            </w:r>
          </w:p>
        </w:tc>
      </w:tr>
      <w:tr>
        <w:tblPrEx>
          <w:tblW w:w="10141" w:type="dxa"/>
          <w:tblCellMar>
            <w:top w:w="0" w:type="dxa"/>
            <w:left w:w="0" w:type="dxa"/>
            <w:bottom w:w="0" w:type="dxa"/>
            <w:right w:w="0" w:type="dxa"/>
          </w:tblCellMar>
        </w:tblPrEx>
        <w:trPr>
          <w:trHeight w:val="272"/>
        </w:trPr>
        <w:tc>
          <w:tcPr>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Description of the financial instrument, type of instrument</w:t>
            </w:r>
          </w:p>
        </w:tc>
        <w:tc>
          <w:tcPr>
            <w:tcW w:w="5962"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Ordinary Shares of 5p each</w:t>
            </w:r>
          </w:p>
        </w:tc>
      </w:tr>
      <w:tr>
        <w:tblPrEx>
          <w:tblW w:w="10141" w:type="dxa"/>
          <w:tblCellMar>
            <w:top w:w="0" w:type="dxa"/>
            <w:left w:w="0" w:type="dxa"/>
            <w:bottom w:w="0" w:type="dxa"/>
            <w:right w:w="0" w:type="dxa"/>
          </w:tblCellMar>
        </w:tblPrEx>
        <w:trPr>
          <w:trHeight w:val="271"/>
        </w:trPr>
        <w:tc>
          <w:tcPr>
            <w:vMerge/>
            <w:tcBorders>
              <w:right w:val="single" w:sz="8" w:space="0" w:color="000000"/>
            </w:tcBorders>
            <w:vAlign w:val="center"/>
            <w:hideMark/>
          </w:tcPr>
          <w:p>
            <w:pPr>
              <w:rPr>
                <w:rFonts w:ascii="Arial" w:eastAsia="Arial" w:hAnsi="Arial" w:cs="Arial"/>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5962"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72"/>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Identification code</w:t>
            </w:r>
          </w:p>
        </w:tc>
        <w:tc>
          <w:tcPr>
            <w:tcW w:w="5962"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GB0002570660</w:t>
            </w:r>
          </w:p>
        </w:tc>
      </w:tr>
      <w:tr>
        <w:tblPrEx>
          <w:tblW w:w="10141" w:type="dxa"/>
          <w:tblCellMar>
            <w:top w:w="0" w:type="dxa"/>
            <w:left w:w="0" w:type="dxa"/>
            <w:bottom w:w="0" w:type="dxa"/>
            <w:right w:w="0" w:type="dxa"/>
          </w:tblCellMar>
        </w:tblPrEx>
        <w:trPr>
          <w:trHeight w:val="271"/>
        </w:trPr>
        <w:tc>
          <w:tcPr>
            <w:vMerge/>
            <w:tcBorders>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0"/>
                <w:szCs w:val="20"/>
              </w:rPr>
            </w:pPr>
          </w:p>
        </w:tc>
        <w:tc>
          <w:tcPr>
            <w:tcW w:w="3086" w:type="dxa"/>
            <w:tcBorders>
              <w:bottom w:val="single" w:sz="8" w:space="0" w:color="000000"/>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5962" w:type="dxa"/>
            <w:gridSpan w:val="4"/>
            <w:tcBorders>
              <w:bottom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Nature of the transaction</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Option award</w:t>
            </w:r>
            <w:r>
              <w:rPr>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231"/>
        </w:trPr>
        <w:tc>
          <w:tcPr>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Price(s) and volume(s)</w:t>
            </w: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303"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Price(s)</w:t>
            </w:r>
          </w:p>
        </w:tc>
        <w:tc>
          <w:tcPr>
            <w:tcW w:w="230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Volume(s)</w:t>
            </w: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Award of shares</w:t>
            </w: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£0.335</w:t>
            </w:r>
          </w:p>
        </w:tc>
        <w:tc>
          <w:tcPr>
            <w:tcW w:w="2303"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500,000</w:t>
            </w: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bottom w:val="single" w:sz="8" w:space="0" w:color="000000"/>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tcBorders>
              <w:bottom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303" w:type="dxa"/>
            <w:tcBorders>
              <w:bottom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top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Aggregated information</w:t>
            </w:r>
          </w:p>
        </w:tc>
        <w:tc>
          <w:tcPr>
            <w:tcBorders>
              <w:top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Award of shares</w:t>
            </w:r>
          </w:p>
        </w:tc>
        <w:tc>
          <w:tcPr>
            <w:tcW w:w="2303"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Borders>
              <w:top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5962"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Aggregated volume</w:t>
            </w: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500,000</w:t>
            </w:r>
          </w:p>
        </w:tc>
        <w:tc>
          <w:tcPr>
            <w:tcW w:w="2303"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5962"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Price</w:t>
            </w:r>
          </w:p>
        </w:tc>
        <w:tc>
          <w:tcPr>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296"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£167,500</w:t>
            </w:r>
          </w:p>
        </w:tc>
        <w:tc>
          <w:tcPr>
            <w:tcW w:w="2303"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bottom w:val="single" w:sz="8" w:space="0" w:color="000000"/>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086" w:type="dxa"/>
            <w:tcBorders>
              <w:bottom w:val="single" w:sz="8" w:space="0" w:color="000000"/>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5962" w:type="dxa"/>
            <w:gridSpan w:val="4"/>
            <w:tcBorders>
              <w:bottom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c>
          <w:tcPr>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e)</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Date of the transaction</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5962"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8 November 2022</w:t>
            </w:r>
          </w:p>
        </w:tc>
      </w:tr>
      <w:tr>
        <w:tblPrEx>
          <w:tblW w:w="10141" w:type="dxa"/>
          <w:tblCellMar>
            <w:top w:w="0" w:type="dxa"/>
            <w:left w:w="0" w:type="dxa"/>
            <w:bottom w:w="0" w:type="dxa"/>
            <w:right w:w="0" w:type="dxa"/>
          </w:tblCellMar>
        </w:tblPrEx>
        <w:tc>
          <w:tcPr>
            <w:tcBorders>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f)</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086"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Place of the transaction</w:t>
            </w:r>
          </w:p>
        </w:tc>
        <w:tc>
          <w:tcPr>
            <w:tcW w:w="5962"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Outside a trading venue</w:t>
            </w:r>
          </w:p>
        </w:tc>
      </w:tr>
    </w:tbl>
    <w:p>
      <w:pPr>
        <w:spacing w:before="0" w:after="280"/>
        <w:jc w:val="both"/>
        <w:rPr>
          <w:rFonts w:ascii="Arial" w:eastAsia="Arial" w:hAnsi="Arial" w:cs="Arial"/>
          <w:sz w:val="20"/>
          <w:szCs w:val="20"/>
        </w:rPr>
      </w:pPr>
    </w:p>
    <w:p>
      <w:pPr>
        <w:spacing w:before="0" w:after="280"/>
        <w:jc w:val="both"/>
        <w:rPr>
          <w:rFonts w:ascii="Arial" w:eastAsia="Arial" w:hAnsi="Arial" w:cs="Arial"/>
          <w:sz w:val="20"/>
          <w:szCs w:val="20"/>
        </w:rPr>
      </w:pPr>
    </w:p>
    <w:p>
      <w:pPr>
        <w:spacing w:before="0" w:after="280"/>
        <w:jc w:val="both"/>
        <w:rPr>
          <w:rFonts w:ascii="Arial" w:eastAsia="Arial" w:hAnsi="Arial" w:cs="Arial"/>
          <w:sz w:val="20"/>
          <w:szCs w:val="20"/>
        </w:rPr>
      </w:pPr>
    </w:p>
    <w:tbl>
      <w:tblPr>
        <w:tblW w:w="10141" w:type="dxa"/>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tblGrid>
        <w:gridCol w:w="677"/>
        <w:gridCol w:w="3585"/>
        <w:gridCol w:w="516"/>
        <w:gridCol w:w="1238"/>
        <w:gridCol w:w="2741"/>
        <w:gridCol w:w="1344"/>
      </w:tblGrid>
      <w:tr>
        <w:tblPrEx>
          <w:tblW w:w="10141" w:type="dxa"/>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1</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690"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person discharging managerial responsibilities / person closely associated</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514"/>
        </w:trPr>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Name</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David Clements</w:t>
            </w:r>
          </w:p>
        </w:tc>
      </w:tr>
      <w:tr>
        <w:tblPrEx>
          <w:tblW w:w="10141" w:type="dxa"/>
          <w:tblCellMar>
            <w:top w:w="0" w:type="dxa"/>
            <w:left w:w="0" w:type="dxa"/>
            <w:bottom w:w="0" w:type="dxa"/>
            <w:right w:w="0" w:type="dxa"/>
          </w:tblCellMar>
        </w:tblPrEx>
        <w:trPr>
          <w:trHeight w:val="469"/>
        </w:trPr>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2</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690"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Reason for the notification</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423"/>
        </w:trPr>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Position/status</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Commercial &amp; Risk Director</w:t>
            </w: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Initial notification /Amendment</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Initial Notification</w:t>
            </w: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3</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690" w:type="dxa"/>
            <w:gridSpan w:val="5"/>
            <w:tcBorders>
              <w:bottom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issuer, emission allowance market participant, auction platform, auctioneer or auction monitor</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Name</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Pennant International Group plc</w:t>
            </w: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LEI</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2138005AIIUYSRP5O254</w:t>
            </w: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4</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9690" w:type="dxa"/>
            <w:gridSpan w:val="5"/>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Details of the transaction(s): section to be repeated for (i) each type of instrument; (ii) each type of transaction; (iii) each date; and (iv) each place where transactions have been conducted</w:t>
            </w:r>
          </w:p>
        </w:tc>
      </w:tr>
      <w:tr>
        <w:tblPrEx>
          <w:tblW w:w="10141" w:type="dxa"/>
          <w:tblCellMar>
            <w:top w:w="0" w:type="dxa"/>
            <w:left w:w="0" w:type="dxa"/>
            <w:bottom w:w="0" w:type="dxa"/>
            <w:right w:w="0" w:type="dxa"/>
          </w:tblCellMar>
        </w:tblPrEx>
        <w:trPr>
          <w:trHeight w:val="272"/>
        </w:trPr>
        <w:tc>
          <w:tcPr>
            <w:tcW w:w="461" w:type="dxa"/>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Description of the financial instrument, type of instrument</w:t>
            </w:r>
          </w:p>
        </w:tc>
        <w:tc>
          <w:tcPr>
            <w:tcW w:w="6341"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Ordinary Shares of 5p each</w:t>
            </w:r>
          </w:p>
        </w:tc>
      </w:tr>
      <w:tr>
        <w:tblPrEx>
          <w:tblW w:w="10141" w:type="dxa"/>
          <w:tblCellMar>
            <w:top w:w="0" w:type="dxa"/>
            <w:left w:w="0" w:type="dxa"/>
            <w:bottom w:w="0" w:type="dxa"/>
            <w:right w:w="0" w:type="dxa"/>
          </w:tblCellMar>
        </w:tblPrEx>
        <w:trPr>
          <w:trHeight w:val="271"/>
        </w:trPr>
        <w:tc>
          <w:tcPr>
            <w:vMerge/>
            <w:tcBorders>
              <w:right w:val="single" w:sz="8" w:space="0" w:color="000000"/>
            </w:tcBorders>
            <w:vAlign w:val="center"/>
            <w:hideMark/>
          </w:tcPr>
          <w:p>
            <w:pPr>
              <w:rPr>
                <w:rFonts w:ascii="Arial" w:eastAsia="Arial" w:hAnsi="Arial" w:cs="Arial"/>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6341"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72"/>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Identification code</w:t>
            </w:r>
          </w:p>
        </w:tc>
        <w:tc>
          <w:tcPr>
            <w:tcW w:w="6341"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GB0002570660</w:t>
            </w:r>
          </w:p>
        </w:tc>
      </w:tr>
      <w:tr>
        <w:tblPrEx>
          <w:tblW w:w="10141" w:type="dxa"/>
          <w:tblCellMar>
            <w:top w:w="0" w:type="dxa"/>
            <w:left w:w="0" w:type="dxa"/>
            <w:bottom w:w="0" w:type="dxa"/>
            <w:right w:w="0" w:type="dxa"/>
          </w:tblCellMar>
        </w:tblPrEx>
        <w:trPr>
          <w:trHeight w:val="271"/>
        </w:trPr>
        <w:tc>
          <w:tcPr>
            <w:vMerge/>
            <w:tcBorders>
              <w:bottom w:val="single" w:sz="8" w:space="0" w:color="000000"/>
              <w:right w:val="single" w:sz="8" w:space="0" w:color="000000"/>
            </w:tcBorders>
            <w:vAlign w:val="center"/>
            <w:hideMark/>
          </w:tcPr>
          <w:p>
            <w:pPr>
              <w:rPr>
                <w:rFonts w:ascii="Arial" w:eastAsia="Arial" w:hAnsi="Arial" w:cs="Arial"/>
                <w:b w:val="0"/>
                <w:bCs w:val="0"/>
                <w:i w:val="0"/>
                <w:iCs w:val="0"/>
                <w:smallCaps w:val="0"/>
                <w:color w:val="000000"/>
                <w:sz w:val="20"/>
                <w:szCs w:val="20"/>
              </w:rPr>
            </w:pPr>
          </w:p>
        </w:tc>
        <w:tc>
          <w:tcPr>
            <w:tcW w:w="3359" w:type="dxa"/>
            <w:tcBorders>
              <w:bottom w:val="single" w:sz="8" w:space="0" w:color="000000"/>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6341" w:type="dxa"/>
            <w:gridSpan w:val="4"/>
            <w:tcBorders>
              <w:bottom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b)</w:t>
            </w:r>
          </w:p>
          <w:p>
            <w:pPr>
              <w:spacing w:before="0" w:after="0"/>
              <w:jc w:val="both"/>
              <w:rPr>
                <w:b w:val="0"/>
                <w:bCs w:val="0"/>
                <w:i w:val="0"/>
                <w:iCs w:val="0"/>
                <w:smallCaps w:val="0"/>
                <w:color w:val="000000"/>
                <w:sz w:val="20"/>
                <w:szCs w:val="20"/>
              </w:rPr>
            </w:pPr>
            <w:r>
              <w:rPr>
                <w:rFonts w:ascii="Arial" w:eastAsia="Arial" w:hAnsi="Arial" w:cs="Arial"/>
                <w:b/>
                <w:bCs/>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Nature of the transaction</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Option award</w:t>
            </w:r>
            <w:r>
              <w:rPr>
                <w:b w:val="0"/>
                <w:bCs w:val="0"/>
                <w:i w:val="0"/>
                <w:iCs w:val="0"/>
                <w:smallCaps w:val="0"/>
                <w:color w:val="000000"/>
                <w:sz w:val="20"/>
                <w:szCs w:val="20"/>
              </w:rPr>
              <w:t> </w:t>
            </w:r>
          </w:p>
        </w:tc>
      </w:tr>
      <w:tr>
        <w:tblPrEx>
          <w:tblW w:w="10141" w:type="dxa"/>
          <w:tblCellMar>
            <w:top w:w="0" w:type="dxa"/>
            <w:left w:w="0" w:type="dxa"/>
            <w:bottom w:w="0" w:type="dxa"/>
            <w:right w:w="0" w:type="dxa"/>
          </w:tblCellMar>
        </w:tblPrEx>
        <w:trPr>
          <w:trHeight w:val="231"/>
        </w:trPr>
        <w:tc>
          <w:tcPr>
            <w:tcW w:w="461" w:type="dxa"/>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c)</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Price(s) and volume(s)</w:t>
            </w: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505"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Price(s)</w:t>
            </w:r>
          </w:p>
        </w:tc>
        <w:tc>
          <w:tcPr>
            <w:tcW w:w="2505"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Volume(s)</w:t>
            </w: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Award of shares</w:t>
            </w: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£0.335</w:t>
            </w:r>
          </w:p>
        </w:tc>
        <w:tc>
          <w:tcPr>
            <w:tcW w:w="2505"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300,000</w:t>
            </w: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231"/>
        </w:trPr>
        <w:tc>
          <w:tcPr>
            <w:vMerge/>
            <w:tcBorders>
              <w:bottom w:val="single" w:sz="8" w:space="0" w:color="000000"/>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tcBorders>
              <w:bottom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505" w:type="dxa"/>
            <w:tcBorders>
              <w:bottom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tcW w:w="461" w:type="dxa"/>
            <w:vMerge w:val="restart"/>
            <w:tcBorders>
              <w:bottom w:val="none" w:sz="0" w:space="0" w:color="auto"/>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top w:val="single" w:sz="8" w:space="0" w:color="000000"/>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Aggregated information</w:t>
            </w:r>
          </w:p>
        </w:tc>
        <w:tc>
          <w:tcPr>
            <w:tcW w:w="280" w:type="dxa"/>
            <w:tcBorders>
              <w:top w:val="single" w:sz="8" w:space="0" w:color="000000"/>
            </w:tcBorders>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Award of shares</w:t>
            </w:r>
          </w:p>
        </w:tc>
        <w:tc>
          <w:tcPr>
            <w:tcW w:w="2505"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1118" w:type="dxa"/>
            <w:tcBorders>
              <w:top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6341"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Aggregated volume</w:t>
            </w: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300,000</w:t>
            </w:r>
          </w:p>
        </w:tc>
        <w:tc>
          <w:tcPr>
            <w:tcW w:w="2505"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6341" w:type="dxa"/>
            <w:gridSpan w:val="4"/>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Price</w:t>
            </w:r>
          </w:p>
        </w:tc>
        <w:tc>
          <w:tcPr>
            <w:tcW w:w="280"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2498" w:type="dxa"/>
            <w:noWrap w:val="0"/>
            <w:tcMar>
              <w:top w:w="0" w:type="dxa"/>
              <w:left w:w="118" w:type="dxa"/>
              <w:bottom w:w="0" w:type="dxa"/>
              <w:right w:w="11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£100,500</w:t>
            </w:r>
          </w:p>
        </w:tc>
        <w:tc>
          <w:tcPr>
            <w:tcW w:w="2505" w:type="dxa"/>
            <w:noWrap w:val="0"/>
            <w:tcMar>
              <w:top w:w="0" w:type="dxa"/>
              <w:left w:w="118" w:type="dxa"/>
              <w:bottom w:w="0" w:type="dxa"/>
              <w:right w:w="11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1118" w:type="dxa"/>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rPr>
          <w:trHeight w:val="77"/>
        </w:trPr>
        <w:tc>
          <w:tcPr>
            <w:vMerge/>
            <w:tcBorders>
              <w:bottom w:val="single" w:sz="8" w:space="0" w:color="000000"/>
              <w:right w:val="single" w:sz="8" w:space="0" w:color="000000"/>
            </w:tcBorders>
            <w:vAlign w:val="center"/>
            <w:hideMark/>
          </w:tcPr>
          <w:p>
            <w:pPr>
              <w:rPr>
                <w:rFonts w:ascii="Times New Roman" w:eastAsia="Times New Roman" w:hAnsi="Times New Roman" w:cs="Times New Roman"/>
                <w:b w:val="0"/>
                <w:bCs w:val="0"/>
                <w:i w:val="0"/>
                <w:iCs w:val="0"/>
                <w:smallCaps w:val="0"/>
                <w:color w:val="000000"/>
                <w:sz w:val="20"/>
                <w:szCs w:val="20"/>
              </w:rPr>
            </w:pPr>
          </w:p>
        </w:tc>
        <w:tc>
          <w:tcPr>
            <w:tcW w:w="3359" w:type="dxa"/>
            <w:tcBorders>
              <w:bottom w:val="single" w:sz="8" w:space="0" w:color="000000"/>
              <w:right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c>
          <w:tcPr>
            <w:tcW w:w="6341" w:type="dxa"/>
            <w:gridSpan w:val="4"/>
            <w:tcBorders>
              <w:bottom w:val="single" w:sz="8" w:space="0" w:color="000000"/>
            </w:tcBorders>
            <w:noWrap w:val="0"/>
            <w:tcMar>
              <w:top w:w="0" w:type="dxa"/>
              <w:left w:w="118" w:type="dxa"/>
              <w:bottom w:w="0" w:type="dxa"/>
              <w:right w:w="108" w:type="dxa"/>
            </w:tcMar>
            <w:vAlign w:val="top"/>
          </w:tcPr>
          <w:p>
            <w:pPr>
              <w:spacing w:before="0" w:after="0"/>
              <w:jc w:val="both"/>
              <w:rPr>
                <w:rFonts w:ascii="Times New Roman" w:eastAsia="Times New Roman" w:hAnsi="Times New Roman" w:cs="Times New Roman"/>
                <w:b w:val="0"/>
                <w:bCs w:val="0"/>
                <w:i w:val="0"/>
                <w:iCs w:val="0"/>
                <w:smallCaps w:val="0"/>
                <w:color w:val="000000"/>
                <w:sz w:val="20"/>
                <w:szCs w:val="20"/>
              </w:rPr>
            </w:pPr>
          </w:p>
        </w:tc>
      </w:tr>
      <w:tr>
        <w:tblPrEx>
          <w:tblW w:w="10141" w:type="dxa"/>
          <w:tblCellMar>
            <w:top w:w="0" w:type="dxa"/>
            <w:left w:w="0" w:type="dxa"/>
            <w:bottom w:w="0" w:type="dxa"/>
            <w:right w:w="0" w:type="dxa"/>
          </w:tblCellMar>
        </w:tblPrEx>
        <w:tc>
          <w:tcPr>
            <w:tcW w:w="461" w:type="dxa"/>
            <w:tcBorders>
              <w:bottom w:val="single" w:sz="8" w:space="0" w:color="000000"/>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e)</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bottom w:val="single" w:sz="8" w:space="0" w:color="000000"/>
              <w:right w:val="single" w:sz="8" w:space="0" w:color="000000"/>
            </w:tcBorders>
            <w:noWrap w:val="0"/>
            <w:tcMar>
              <w:top w:w="0" w:type="dxa"/>
              <w:left w:w="11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Date of the transaction</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6341" w:type="dxa"/>
            <w:gridSpan w:val="4"/>
            <w:tcBorders>
              <w:bottom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8 November 2022</w:t>
            </w:r>
          </w:p>
        </w:tc>
      </w:tr>
      <w:tr>
        <w:tblPrEx>
          <w:tblW w:w="10141" w:type="dxa"/>
          <w:tblCellMar>
            <w:top w:w="0" w:type="dxa"/>
            <w:left w:w="0" w:type="dxa"/>
            <w:bottom w:w="0" w:type="dxa"/>
            <w:right w:w="0" w:type="dxa"/>
          </w:tblCellMar>
        </w:tblPrEx>
        <w:tc>
          <w:tcPr>
            <w:tcW w:w="461" w:type="dxa"/>
            <w:tcBorders>
              <w:right w:val="single" w:sz="8" w:space="0" w:color="000000"/>
            </w:tcBorders>
            <w:noWrap w:val="0"/>
            <w:tcMar>
              <w:top w:w="0" w:type="dxa"/>
              <w:left w:w="108" w:type="dxa"/>
              <w:bottom w:w="0" w:type="dxa"/>
              <w:right w:w="108" w:type="dxa"/>
            </w:tcMar>
            <w:vAlign w:val="top"/>
            <w:hideMark/>
          </w:tcPr>
          <w:p>
            <w:pPr>
              <w:spacing w:before="0" w:after="28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f)</w:t>
            </w:r>
          </w:p>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tc>
        <w:tc>
          <w:tcPr>
            <w:tcW w:w="3359" w:type="dxa"/>
            <w:tcBorders>
              <w:right w:val="single" w:sz="8" w:space="0" w:color="000000"/>
            </w:tcBorders>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Place of the transaction</w:t>
            </w:r>
          </w:p>
        </w:tc>
        <w:tc>
          <w:tcPr>
            <w:tcW w:w="6341" w:type="dxa"/>
            <w:gridSpan w:val="4"/>
            <w:noWrap w:val="0"/>
            <w:tcMar>
              <w:top w:w="0" w:type="dxa"/>
              <w:left w:w="118" w:type="dxa"/>
              <w:bottom w:w="0" w:type="dxa"/>
              <w:right w:w="108" w:type="dxa"/>
            </w:tcMar>
            <w:vAlign w:val="top"/>
            <w:hideMark/>
          </w:tcPr>
          <w:p>
            <w:pPr>
              <w:spacing w:before="0" w:after="0"/>
              <w:jc w:val="both"/>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Outside a trading venue</w:t>
            </w:r>
          </w:p>
        </w:tc>
      </w:tr>
    </w:tbl>
    <w:p>
      <w:pPr>
        <w:spacing w:before="0" w:after="280"/>
        <w:jc w:val="both"/>
        <w:rPr>
          <w:rFonts w:ascii="Times New Roman" w:eastAsia="Times New Roman" w:hAnsi="Times New Roman" w:cs="Times New Roman"/>
          <w:sz w:val="20"/>
          <w:szCs w:val="20"/>
        </w:rPr>
      </w:pPr>
    </w:p>
    <w:p>
      <w:pPr>
        <w:spacing w:before="0" w:after="280"/>
        <w:jc w:val="both"/>
        <w:rPr>
          <w:rFonts w:ascii="Times New Roman" w:eastAsia="Times New Roman" w:hAnsi="Times New Roman" w:cs="Times New Roman"/>
          <w:sz w:val="20"/>
          <w:szCs w:val="20"/>
        </w:rPr>
      </w:pPr>
    </w:p>
    <w:p>
      <w:pPr>
        <w:spacing w:before="0" w:after="280"/>
        <w:jc w:val="both"/>
        <w:rPr>
          <w:rFonts w:ascii="Times New Roman" w:eastAsia="Times New Roman" w:hAnsi="Times New Roman" w:cs="Times New Roman"/>
          <w:sz w:val="20"/>
          <w:szCs w:val="20"/>
        </w:rPr>
      </w:pPr>
    </w:p>
    <w:p>
      <w:pPr>
        <w:spacing w:before="0" w:after="0"/>
        <w:jc w:val="both"/>
        <w:rPr>
          <w:rFonts w:ascii="Arial" w:eastAsia="Arial" w:hAnsi="Arial" w:cs="Arial"/>
          <w:sz w:val="24"/>
          <w:szCs w:val="24"/>
        </w:rPr>
      </w:pPr>
    </w:p>
    <w:sectPr>
      <w:headerReference w:type="default" r:id="rId8"/>
      <w:footerReference w:type="default" r:id="rId9"/>
      <w:type w:val="nextPage"/>
      <w:pgSz w:w="11906" w:h="16838"/>
      <w:pgMar w:top="851" w:right="1418" w:bottom="851" w:left="1418"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right"/>
      <w:rPr>
        <w:rFonts w:ascii="Times New Roman" w:eastAsia="Times New Roman" w:hAnsi="Times New Roman" w:cs="Times New Roman"/>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Times New Roman" w:eastAsia="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pennantplc.co.uk" TargetMode="External" /><Relationship Id="rId6" Type="http://schemas.openxmlformats.org/officeDocument/2006/relationships/hyperlink" Target="https://www.whirelandplc.com/capital-markets" TargetMode="External" /><Relationship Id="rId7" Type="http://schemas.openxmlformats.org/officeDocument/2006/relationships/hyperlink" Target="mailto:paul.vann@walbrookpr.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